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FC" w:rsidRPr="00DB50F7" w:rsidRDefault="000712FC" w:rsidP="000712FC">
      <w:pPr>
        <w:pStyle w:val="Nagwek2"/>
        <w:numPr>
          <w:ilvl w:val="0"/>
          <w:numId w:val="0"/>
        </w:numPr>
        <w:jc w:val="center"/>
        <w:rPr>
          <w:color w:val="0070C0"/>
          <w:sz w:val="36"/>
        </w:rPr>
      </w:pPr>
      <w:bookmarkStart w:id="0" w:name="_Toc88605482"/>
      <w:r w:rsidRPr="00DB50F7">
        <w:rPr>
          <w:color w:val="0070C0"/>
          <w:sz w:val="36"/>
        </w:rPr>
        <w:t>ZAPROSZENIE</w:t>
      </w:r>
      <w:bookmarkEnd w:id="0"/>
    </w:p>
    <w:p w:rsidR="000712FC" w:rsidRDefault="000712FC" w:rsidP="000712FC">
      <w:pPr>
        <w:jc w:val="center"/>
      </w:pPr>
      <w:r>
        <w:t>na bezpłatne warsztaty dla kandydatów do współpracy przy świadczeniu usługi</w:t>
      </w:r>
    </w:p>
    <w:p w:rsidR="000712FC" w:rsidRPr="00754A85" w:rsidRDefault="000712FC" w:rsidP="000712FC">
      <w:pPr>
        <w:jc w:val="center"/>
        <w:rPr>
          <w:b/>
          <w:color w:val="0070C0"/>
          <w:sz w:val="32"/>
        </w:rPr>
      </w:pPr>
      <w:r w:rsidRPr="00754A85">
        <w:rPr>
          <w:b/>
          <w:color w:val="0070C0"/>
          <w:sz w:val="32"/>
        </w:rPr>
        <w:t>Maturyzacja innowacyjnych projektów mazowieckich MSP</w:t>
      </w:r>
    </w:p>
    <w:p w:rsidR="000712FC" w:rsidRDefault="000712FC" w:rsidP="000712FC">
      <w:pPr>
        <w:spacing w:before="0" w:line="240" w:lineRule="auto"/>
        <w:jc w:val="center"/>
      </w:pPr>
      <w:r>
        <w:t>czyli</w:t>
      </w:r>
    </w:p>
    <w:p w:rsidR="000712FC" w:rsidRDefault="000712FC" w:rsidP="000712FC">
      <w:pPr>
        <w:spacing w:before="0" w:after="480" w:line="240" w:lineRule="auto"/>
        <w:contextualSpacing w:val="0"/>
        <w:jc w:val="center"/>
      </w:pPr>
      <w:r w:rsidRPr="00BA52D4">
        <w:t>Usługa strukturyzowania mazowieckich MSP i ich innowacyjnych projektów, przygotowująca je do skutecznego pozyskiwania finansowania</w:t>
      </w:r>
    </w:p>
    <w:p w:rsidR="000712FC" w:rsidRDefault="000712FC" w:rsidP="000712FC">
      <w:pPr>
        <w:jc w:val="center"/>
      </w:pPr>
      <w:r>
        <w:rPr>
          <w:noProof/>
        </w:rPr>
        <w:drawing>
          <wp:inline distT="0" distB="0" distL="0" distR="0" wp14:anchorId="41570CF8" wp14:editId="439952BF">
            <wp:extent cx="4303395" cy="776053"/>
            <wp:effectExtent l="0" t="0" r="1905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URYZACJA-INNOWACJI-COLO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664" cy="78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FC" w:rsidRDefault="000712FC" w:rsidP="000712FC"/>
    <w:p w:rsidR="000712FC" w:rsidRPr="00B32411" w:rsidRDefault="000712FC" w:rsidP="000712FC">
      <w:pPr>
        <w:rPr>
          <w:b/>
          <w:color w:val="0070C0"/>
        </w:rPr>
      </w:pPr>
      <w:r>
        <w:rPr>
          <w:b/>
          <w:color w:val="0070C0"/>
        </w:rPr>
        <w:t>Organizator Szkolenia: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t>Partnerstwo złożone z:</w:t>
      </w:r>
    </w:p>
    <w:p w:rsidR="000712FC" w:rsidRDefault="000712FC" w:rsidP="000712FC">
      <w:pPr>
        <w:jc w:val="center"/>
      </w:pPr>
      <w:r>
        <w:t>Fundacji Poszanowania Energii</w:t>
      </w:r>
    </w:p>
    <w:p w:rsidR="000712FC" w:rsidRDefault="000712FC" w:rsidP="000712FC">
      <w:pPr>
        <w:jc w:val="center"/>
      </w:pPr>
      <w:r>
        <w:t>Zrzeszenia Audytorów Energetycznych</w:t>
      </w:r>
    </w:p>
    <w:p w:rsidR="000712FC" w:rsidRDefault="000712FC" w:rsidP="000712FC">
      <w:pPr>
        <w:jc w:val="center"/>
      </w:pPr>
      <w:r>
        <w:t>Centrum Przedsiębiorczości Racjonalnej; Fundacji Praktyków Biznesu</w:t>
      </w:r>
    </w:p>
    <w:p w:rsidR="000712FC" w:rsidRDefault="000712FC" w:rsidP="000712FC"/>
    <w:p w:rsidR="000712FC" w:rsidRPr="00754A85" w:rsidRDefault="000712FC" w:rsidP="000712FC">
      <w:pPr>
        <w:rPr>
          <w:b/>
          <w:color w:val="0070C0"/>
        </w:rPr>
      </w:pPr>
      <w:r w:rsidRPr="00754A85">
        <w:rPr>
          <w:b/>
          <w:color w:val="0070C0"/>
        </w:rPr>
        <w:t>Dla kogo przeznaczone jest szkolenie:</w:t>
      </w:r>
    </w:p>
    <w:p w:rsidR="000712FC" w:rsidRPr="00754A85" w:rsidRDefault="000712FC" w:rsidP="000712FC">
      <w:pPr>
        <w:spacing w:line="240" w:lineRule="auto"/>
        <w:rPr>
          <w:sz w:val="22"/>
        </w:rPr>
      </w:pPr>
      <w:r w:rsidRPr="00754A85">
        <w:rPr>
          <w:sz w:val="22"/>
        </w:rPr>
        <w:t xml:space="preserve">Zaproszenie skierowane jest do osób mających na co dzień kontakt z przedsiębiorcami, alumnów Fundacji Poszanowania Energii, zwłaszcza audytorów energetycznych, </w:t>
      </w:r>
      <w:r>
        <w:rPr>
          <w:sz w:val="22"/>
        </w:rPr>
        <w:t>fanów innowacji i rozwoju</w:t>
      </w:r>
      <w:r w:rsidRPr="00754A85">
        <w:rPr>
          <w:sz w:val="22"/>
        </w:rPr>
        <w:t>. Szkolenie skierowane jest zarówno do osób początkujących</w:t>
      </w:r>
      <w:r>
        <w:rPr>
          <w:sz w:val="22"/>
        </w:rPr>
        <w:t>,</w:t>
      </w:r>
      <w:r w:rsidRPr="00754A85">
        <w:rPr>
          <w:sz w:val="22"/>
        </w:rPr>
        <w:t xml:space="preserve"> mających niewielkie lub żadne doświadczenie w </w:t>
      </w:r>
      <w:r>
        <w:rPr>
          <w:sz w:val="22"/>
        </w:rPr>
        <w:t>rozpoznawaniu i rozwijaniu potencjału rozwojowego firm</w:t>
      </w:r>
      <w:r w:rsidRPr="00754A85">
        <w:rPr>
          <w:sz w:val="22"/>
        </w:rPr>
        <w:t xml:space="preserve">, jak i do tych, które posiadają już praktykę </w:t>
      </w:r>
      <w:r>
        <w:rPr>
          <w:sz w:val="22"/>
        </w:rPr>
        <w:t>biznes</w:t>
      </w:r>
      <w:r w:rsidRPr="00754A85">
        <w:rPr>
          <w:sz w:val="22"/>
        </w:rPr>
        <w:t>ową</w:t>
      </w:r>
      <w:r>
        <w:rPr>
          <w:sz w:val="22"/>
        </w:rPr>
        <w:t>, audytową, inżynierską, prorozwojową</w:t>
      </w:r>
      <w:r w:rsidRPr="00754A85">
        <w:rPr>
          <w:sz w:val="22"/>
        </w:rPr>
        <w:t xml:space="preserve">, ale pragną </w:t>
      </w:r>
      <w:r>
        <w:rPr>
          <w:sz w:val="22"/>
        </w:rPr>
        <w:t>poznać nowe (</w:t>
      </w:r>
      <w:proofErr w:type="spellStart"/>
      <w:r>
        <w:rPr>
          <w:sz w:val="22"/>
        </w:rPr>
        <w:t>maturyzacyjne</w:t>
      </w:r>
      <w:proofErr w:type="spellEnd"/>
      <w:r>
        <w:rPr>
          <w:sz w:val="22"/>
        </w:rPr>
        <w:t>) podejście do procesów strukturyzacji innowacyjnych projektów i włączyć się w fascynujący nurt wspierania przedsiębiorczości rozwijany w Partnerstwie</w:t>
      </w:r>
      <w:r w:rsidRPr="00754A85">
        <w:rPr>
          <w:sz w:val="22"/>
        </w:rPr>
        <w:t>.</w:t>
      </w:r>
    </w:p>
    <w:p w:rsidR="000712FC" w:rsidRPr="00990DE0" w:rsidRDefault="000712FC" w:rsidP="000712FC">
      <w:pPr>
        <w:spacing w:before="360"/>
        <w:contextualSpacing w:val="0"/>
        <w:rPr>
          <w:b/>
          <w:color w:val="0070C0"/>
        </w:rPr>
      </w:pPr>
      <w:r w:rsidRPr="00990DE0">
        <w:rPr>
          <w:b/>
          <w:color w:val="0070C0"/>
        </w:rPr>
        <w:t>Korzyści dla Uczestników:</w:t>
      </w:r>
    </w:p>
    <w:p w:rsidR="000712FC" w:rsidRDefault="000712FC" w:rsidP="000712FC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>Poznanie całkowicie nowej usługi o dużym potencjale rozwojowym</w:t>
      </w:r>
    </w:p>
    <w:p w:rsidR="000712FC" w:rsidRDefault="000712FC" w:rsidP="000712FC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>Wejście w świat finansowania społecznościowego (</w:t>
      </w:r>
      <w:proofErr w:type="spellStart"/>
      <w:r>
        <w:rPr>
          <w:sz w:val="22"/>
        </w:rPr>
        <w:t>crowdlending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crowdinvesting</w:t>
      </w:r>
      <w:proofErr w:type="spellEnd"/>
      <w:r>
        <w:rPr>
          <w:sz w:val="22"/>
        </w:rPr>
        <w:t>)</w:t>
      </w:r>
    </w:p>
    <w:p w:rsidR="000712FC" w:rsidRDefault="000712FC" w:rsidP="000712FC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>Nabycie umiejętności obsługi dedykowanego środowiska bazodanowego Partnerstwa</w:t>
      </w:r>
    </w:p>
    <w:p w:rsidR="000712FC" w:rsidRDefault="000712FC" w:rsidP="000712FC">
      <w:pPr>
        <w:pStyle w:val="Akapitzlist"/>
        <w:numPr>
          <w:ilvl w:val="0"/>
          <w:numId w:val="2"/>
        </w:numPr>
        <w:rPr>
          <w:sz w:val="22"/>
        </w:rPr>
      </w:pPr>
      <w:r w:rsidRPr="002920D1">
        <w:rPr>
          <w:sz w:val="22"/>
        </w:rPr>
        <w:t xml:space="preserve">Możliwość </w:t>
      </w:r>
      <w:r>
        <w:rPr>
          <w:sz w:val="22"/>
        </w:rPr>
        <w:t>nawiązania stałej współpracy partnerskiej z wynagrodzeniem prowizyjnym</w:t>
      </w:r>
    </w:p>
    <w:p w:rsidR="000712FC" w:rsidRPr="002920D1" w:rsidRDefault="000712FC" w:rsidP="000712FC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Zyskanie nowych kompetencji zwiększających potencjał własnej oferty 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9"/>
        <w:gridCol w:w="1808"/>
        <w:gridCol w:w="1809"/>
      </w:tblGrid>
      <w:tr w:rsidR="000712FC" w:rsidTr="00B95F41">
        <w:trPr>
          <w:jc w:val="center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:rsidR="000712FC" w:rsidRDefault="000712FC" w:rsidP="00B95F41">
            <w:pPr>
              <w:spacing w:before="360"/>
              <w:contextualSpacing w:val="0"/>
              <w:jc w:val="center"/>
              <w:rPr>
                <w:b/>
              </w:rPr>
            </w:pPr>
            <w:hyperlink w:anchor="_Co_to_jest" w:history="1">
              <w:r w:rsidRPr="000159B7">
                <w:rPr>
                  <w:rStyle w:val="Hipercze"/>
                  <w:b/>
                </w:rPr>
                <w:t xml:space="preserve">Co to jest </w:t>
              </w:r>
              <w:proofErr w:type="spellStart"/>
              <w:r w:rsidRPr="000159B7">
                <w:rPr>
                  <w:rStyle w:val="Hipercze"/>
                  <w:b/>
                </w:rPr>
                <w:t>maturyzacja</w:t>
              </w:r>
              <w:proofErr w:type="spellEnd"/>
            </w:hyperlink>
          </w:p>
        </w:tc>
        <w:tc>
          <w:tcPr>
            <w:tcW w:w="1808" w:type="dxa"/>
            <w:shd w:val="clear" w:color="auto" w:fill="EDEDED" w:themeFill="accent3" w:themeFillTint="33"/>
            <w:vAlign w:val="center"/>
          </w:tcPr>
          <w:p w:rsidR="000712FC" w:rsidRDefault="000712FC" w:rsidP="00B95F41">
            <w:pPr>
              <w:spacing w:before="360"/>
              <w:contextualSpacing w:val="0"/>
              <w:jc w:val="center"/>
              <w:rPr>
                <w:b/>
              </w:rPr>
            </w:pPr>
            <w:hyperlink w:anchor="_FORMULARZ_ZGŁOSZENIOWY" w:history="1">
              <w:r w:rsidRPr="000159B7">
                <w:rPr>
                  <w:rStyle w:val="Hipercze"/>
                  <w:b/>
                </w:rPr>
                <w:t>Formularz zgłoszeniowy</w:t>
              </w:r>
            </w:hyperlink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0712FC" w:rsidRDefault="000712FC" w:rsidP="00B95F41">
            <w:pPr>
              <w:spacing w:before="360"/>
              <w:contextualSpacing w:val="0"/>
              <w:jc w:val="center"/>
              <w:rPr>
                <w:b/>
              </w:rPr>
            </w:pPr>
            <w:hyperlink w:anchor="_Program_i_forma" w:history="1">
              <w:r w:rsidRPr="000159B7">
                <w:rPr>
                  <w:rStyle w:val="Hipercze"/>
                  <w:b/>
                </w:rPr>
                <w:t>Program</w:t>
              </w:r>
            </w:hyperlink>
          </w:p>
        </w:tc>
        <w:bookmarkStart w:id="1" w:name="_Hlk88562548"/>
        <w:tc>
          <w:tcPr>
            <w:tcW w:w="1808" w:type="dxa"/>
            <w:shd w:val="clear" w:color="auto" w:fill="EDEDED" w:themeFill="accent3" w:themeFillTint="33"/>
            <w:vAlign w:val="center"/>
          </w:tcPr>
          <w:p w:rsidR="000712FC" w:rsidRDefault="000712FC" w:rsidP="00B95F41">
            <w:pPr>
              <w:spacing w:before="36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 \l "_Miejsce_i_termin" </w:instrText>
            </w:r>
            <w:r>
              <w:rPr>
                <w:b/>
              </w:rPr>
              <w:fldChar w:fldCharType="separate"/>
            </w:r>
            <w:r w:rsidRPr="000159B7">
              <w:rPr>
                <w:rStyle w:val="Hipercze"/>
                <w:b/>
              </w:rPr>
              <w:t>Miejsce i termin</w:t>
            </w:r>
            <w:bookmarkEnd w:id="1"/>
            <w:r>
              <w:rPr>
                <w:b/>
              </w:rPr>
              <w:fldChar w:fldCharType="end"/>
            </w:r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0712FC" w:rsidRDefault="000712FC" w:rsidP="00B95F41">
            <w:pPr>
              <w:spacing w:before="360"/>
              <w:contextualSpacing w:val="0"/>
              <w:jc w:val="center"/>
              <w:rPr>
                <w:b/>
              </w:rPr>
            </w:pPr>
            <w:hyperlink w:anchor="_Informacja_o_prowadzącym" w:history="1">
              <w:r w:rsidRPr="000159B7">
                <w:rPr>
                  <w:rStyle w:val="Hipercze"/>
                  <w:b/>
                </w:rPr>
                <w:t>Prowadzący</w:t>
              </w:r>
            </w:hyperlink>
          </w:p>
        </w:tc>
      </w:tr>
    </w:tbl>
    <w:p w:rsidR="000712FC" w:rsidRPr="008C5486" w:rsidRDefault="000712FC" w:rsidP="000712FC">
      <w:pPr>
        <w:pStyle w:val="Nagwek2"/>
        <w:numPr>
          <w:ilvl w:val="0"/>
          <w:numId w:val="0"/>
        </w:numPr>
      </w:pPr>
      <w:bookmarkStart w:id="2" w:name="_Co_to_jest"/>
      <w:bookmarkStart w:id="3" w:name="_Toc88605483"/>
      <w:bookmarkEnd w:id="2"/>
      <w:r w:rsidRPr="008C5486">
        <w:lastRenderedPageBreak/>
        <w:t xml:space="preserve">Co to jest </w:t>
      </w:r>
      <w:proofErr w:type="spellStart"/>
      <w:r w:rsidRPr="008C5486">
        <w:t>maturyzacja</w:t>
      </w:r>
      <w:proofErr w:type="spellEnd"/>
      <w:r>
        <w:t>?</w:t>
      </w:r>
      <w:bookmarkEnd w:id="3"/>
    </w:p>
    <w:p w:rsidR="000712FC" w:rsidRPr="00E028D3" w:rsidRDefault="000712FC" w:rsidP="000712FC">
      <w:pPr>
        <w:spacing w:line="240" w:lineRule="auto"/>
      </w:pPr>
      <w:r w:rsidRPr="00E028D3">
        <w:t xml:space="preserve">Przygotowujemy przedsiębiorstwa do </w:t>
      </w:r>
      <w:proofErr w:type="spellStart"/>
      <w:r w:rsidRPr="00E028D3">
        <w:rPr>
          <w:b/>
        </w:rPr>
        <w:t>finansowalności</w:t>
      </w:r>
      <w:proofErr w:type="spellEnd"/>
      <w:r w:rsidRPr="00E028D3">
        <w:t xml:space="preserve">, czyli </w:t>
      </w:r>
      <w:r>
        <w:t xml:space="preserve">do nabycia </w:t>
      </w:r>
      <w:r w:rsidRPr="00E028D3">
        <w:t>zdolności pozyskiwania funduszy przeznaczonych na wdrożenie i urynkowienie opracowanych innowacji. Maturyzacja to proces doprowadzania firmy do dojrzałości - przebudowa jej struktury, aby mogła realizować cele biznesowe, rozpocząć przewidywalny, planowy rozwój i prawidłową obsługę zobowiązań wobec wierzycieli, którzy w nią zainwestowali.</w:t>
      </w:r>
    </w:p>
    <w:p w:rsidR="000712FC" w:rsidRPr="00E028D3" w:rsidRDefault="000712FC" w:rsidP="000712FC">
      <w:pPr>
        <w:spacing w:line="240" w:lineRule="auto"/>
      </w:pPr>
      <w:r w:rsidRPr="00B44386">
        <w:t>Usługa rozpoczyna się sekwencyjnym audytem przeprowadzanym przy współpracy z</w:t>
      </w:r>
      <w:r>
        <w:t> </w:t>
      </w:r>
      <w:r w:rsidRPr="00B44386">
        <w:t>przedsiębiorcą. Zawiera doradztwo strategiczne oraz pomoc merytoryczną dotyczącą dopracowania i wdrażania innowacji. Efektem usługi jest certyfikat potwierdzający, że firma ma dobrze rokujący pomysł, dopracowany projekt wdrożenia innowacji, który jest w stanie zrealizować, a następnie spłacić zobowiązania i korzystać z efektów wdroż</w:t>
      </w:r>
      <w:r>
        <w:t>onej innowacji</w:t>
      </w:r>
      <w:r w:rsidRPr="00B44386">
        <w:t>.</w:t>
      </w:r>
    </w:p>
    <w:p w:rsidR="000712FC" w:rsidRPr="00E028D3" w:rsidRDefault="000712FC" w:rsidP="000712FC">
      <w:pPr>
        <w:spacing w:line="240" w:lineRule="auto"/>
      </w:pPr>
      <w:r w:rsidRPr="00E028D3">
        <w:t xml:space="preserve">Współpraca nie musi się na tym kończyć! Możemy wspierać już dojrzałe </w:t>
      </w:r>
      <w:r>
        <w:t>(</w:t>
      </w:r>
      <w:proofErr w:type="spellStart"/>
      <w:r>
        <w:t>zmaturyzowane</w:t>
      </w:r>
      <w:proofErr w:type="spellEnd"/>
      <w:r>
        <w:t xml:space="preserve">) </w:t>
      </w:r>
      <w:r w:rsidRPr="00E028D3">
        <w:t xml:space="preserve">firmy w </w:t>
      </w:r>
      <w:r>
        <w:t xml:space="preserve">trakcie </w:t>
      </w:r>
      <w:r w:rsidRPr="00E028D3">
        <w:t xml:space="preserve">ich </w:t>
      </w:r>
      <w:r>
        <w:t xml:space="preserve">operacji </w:t>
      </w:r>
      <w:proofErr w:type="spellStart"/>
      <w:r w:rsidRPr="00E028D3">
        <w:t>fundraisingu</w:t>
      </w:r>
      <w:proofErr w:type="spellEnd"/>
      <w:r w:rsidRPr="00E028D3">
        <w:t xml:space="preserve"> (</w:t>
      </w:r>
      <w:r>
        <w:t xml:space="preserve">przez pomoc w wyborze mediów, przygotowywanie materiałów, </w:t>
      </w:r>
      <w:r w:rsidRPr="00E028D3">
        <w:t>poszukiwani</w:t>
      </w:r>
      <w:r>
        <w:t>e</w:t>
      </w:r>
      <w:r w:rsidRPr="00E028D3">
        <w:t xml:space="preserve"> inwestorów instytucjonalnych lub prywatnych), w realizacji </w:t>
      </w:r>
      <w:r>
        <w:t xml:space="preserve">już </w:t>
      </w:r>
      <w:r w:rsidRPr="00E028D3">
        <w:t>sfinansowanego projektu</w:t>
      </w:r>
      <w:r>
        <w:t xml:space="preserve"> (np. udział w zarządzaniu wdrożeniem, płynnością, monitoring postępów)</w:t>
      </w:r>
      <w:r w:rsidRPr="00E028D3">
        <w:t>, w dalszym zarządzaniu.</w:t>
      </w:r>
    </w:p>
    <w:p w:rsidR="000712FC" w:rsidRPr="00990DE0" w:rsidRDefault="000712FC" w:rsidP="000712FC">
      <w:pPr>
        <w:pStyle w:val="Nagwek2"/>
        <w:numPr>
          <w:ilvl w:val="0"/>
          <w:numId w:val="0"/>
        </w:numPr>
      </w:pPr>
      <w:bookmarkStart w:id="4" w:name="_Program_i_forma"/>
      <w:bookmarkStart w:id="5" w:name="_Toc88605484"/>
      <w:bookmarkEnd w:id="4"/>
      <w:r w:rsidRPr="00990DE0">
        <w:t xml:space="preserve">Program </w:t>
      </w:r>
      <w:r>
        <w:t xml:space="preserve">i forma </w:t>
      </w:r>
      <w:r w:rsidRPr="00990DE0">
        <w:t>szkolenia</w:t>
      </w:r>
      <w:bookmarkEnd w:id="5"/>
    </w:p>
    <w:p w:rsidR="000712FC" w:rsidRDefault="000712FC" w:rsidP="000712FC">
      <w:pPr>
        <w:spacing w:before="0" w:after="0" w:line="240" w:lineRule="auto"/>
      </w:pPr>
      <w:r>
        <w:t>Szkolenie zaplanowano na 8 godzin lekcyjnych. Będzie łączyło elementy wykładu z warsztatami. Poniżej ramowy program szkolenia.</w:t>
      </w:r>
    </w:p>
    <w:p w:rsidR="000712FC" w:rsidRDefault="000712FC" w:rsidP="000712FC">
      <w:pPr>
        <w:spacing w:before="0" w:after="0" w:line="240" w:lineRule="auto"/>
      </w:pPr>
      <w:r>
        <w:t>Część I. Wprowadzenie (ca 45 min)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O projekcie przygotowania usługi maturyzacji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Partnerstwo FPE, CPR, ZAE,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Wizja usługi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Harmonogram projektu i co dalej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Rola alumnów i ich korzyści ze szkolenia</w:t>
      </w:r>
    </w:p>
    <w:p w:rsidR="000712FC" w:rsidRDefault="000712FC" w:rsidP="000712FC">
      <w:pPr>
        <w:pStyle w:val="Akapitzlist"/>
        <w:numPr>
          <w:ilvl w:val="0"/>
          <w:numId w:val="4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>
        <w:t>Przerwa 5 min.</w:t>
      </w:r>
    </w:p>
    <w:p w:rsidR="000712FC" w:rsidRDefault="000712FC" w:rsidP="000712FC">
      <w:pPr>
        <w:spacing w:before="0" w:after="0" w:line="240" w:lineRule="auto"/>
      </w:pPr>
      <w:r>
        <w:t>Część II O usłudze maturyzacji z lotu ptaka (ca 45 min)</w:t>
      </w:r>
    </w:p>
    <w:p w:rsidR="000712FC" w:rsidRDefault="000712FC" w:rsidP="000712FC">
      <w:pPr>
        <w:pStyle w:val="Akapitzlist"/>
        <w:numPr>
          <w:ilvl w:val="0"/>
          <w:numId w:val="5"/>
        </w:numPr>
        <w:spacing w:before="0" w:after="0" w:line="240" w:lineRule="auto"/>
      </w:pPr>
      <w:r>
        <w:t>Na jakie potrzeby odpowiada usługa maturyzacji</w:t>
      </w:r>
    </w:p>
    <w:p w:rsidR="000712FC" w:rsidRDefault="000712FC" w:rsidP="000712FC">
      <w:pPr>
        <w:pStyle w:val="Akapitzlist"/>
        <w:numPr>
          <w:ilvl w:val="0"/>
          <w:numId w:val="5"/>
        </w:numPr>
        <w:spacing w:before="0" w:after="0" w:line="240" w:lineRule="auto"/>
      </w:pPr>
      <w:r>
        <w:t xml:space="preserve">Jakie korzyści odniosą podmioty </w:t>
      </w:r>
      <w:proofErr w:type="spellStart"/>
      <w:r>
        <w:t>maturyzowane</w:t>
      </w:r>
      <w:proofErr w:type="spellEnd"/>
      <w:r>
        <w:t xml:space="preserve"> i ich projekty</w:t>
      </w:r>
    </w:p>
    <w:p w:rsidR="000712FC" w:rsidRDefault="000712FC" w:rsidP="000712FC">
      <w:pPr>
        <w:pStyle w:val="Akapitzlist"/>
        <w:numPr>
          <w:ilvl w:val="0"/>
          <w:numId w:val="5"/>
        </w:numPr>
        <w:spacing w:before="0" w:after="0" w:line="240" w:lineRule="auto"/>
      </w:pPr>
      <w:r>
        <w:t>Schemat procesu świadczenia usługi maturyzacji</w:t>
      </w:r>
    </w:p>
    <w:p w:rsidR="000712FC" w:rsidRDefault="000712FC" w:rsidP="000712FC">
      <w:pPr>
        <w:pStyle w:val="Akapitzlist"/>
        <w:numPr>
          <w:ilvl w:val="0"/>
          <w:numId w:val="5"/>
        </w:numPr>
        <w:spacing w:before="0" w:after="0" w:line="240" w:lineRule="auto"/>
      </w:pPr>
      <w:r>
        <w:t>System akwizycji klientów, w tym udział uczestników szkolenia i system wynagradzania</w:t>
      </w:r>
    </w:p>
    <w:p w:rsidR="000712FC" w:rsidRDefault="000712FC" w:rsidP="000712FC">
      <w:pPr>
        <w:pStyle w:val="Akapitzlist"/>
        <w:numPr>
          <w:ilvl w:val="0"/>
          <w:numId w:val="5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>
        <w:t>Przerwa 5 min</w:t>
      </w:r>
    </w:p>
    <w:p w:rsidR="000712FC" w:rsidRDefault="000712FC" w:rsidP="000712FC">
      <w:pPr>
        <w:spacing w:before="0" w:after="0" w:line="240" w:lineRule="auto"/>
      </w:pPr>
      <w:r>
        <w:t>Część III Etap aplikacji o maturyzację (ca 45 min)</w:t>
      </w:r>
    </w:p>
    <w:p w:rsidR="000712FC" w:rsidRDefault="000712FC" w:rsidP="000712FC">
      <w:pPr>
        <w:pStyle w:val="Akapitzlist"/>
        <w:numPr>
          <w:ilvl w:val="0"/>
          <w:numId w:val="6"/>
        </w:numPr>
        <w:spacing w:before="0" w:after="0" w:line="240" w:lineRule="auto"/>
      </w:pPr>
      <w:r>
        <w:t>Dokumenty informacyjne</w:t>
      </w:r>
    </w:p>
    <w:p w:rsidR="000712FC" w:rsidRDefault="000712FC" w:rsidP="000712FC">
      <w:pPr>
        <w:pStyle w:val="Akapitzlist"/>
        <w:numPr>
          <w:ilvl w:val="0"/>
          <w:numId w:val="6"/>
        </w:numPr>
        <w:spacing w:before="0" w:after="0" w:line="240" w:lineRule="auto"/>
      </w:pPr>
      <w:r>
        <w:t>Kanały informacji</w:t>
      </w:r>
    </w:p>
    <w:p w:rsidR="000712FC" w:rsidRDefault="000712FC" w:rsidP="000712FC">
      <w:pPr>
        <w:pStyle w:val="Akapitzlist"/>
        <w:numPr>
          <w:ilvl w:val="0"/>
          <w:numId w:val="6"/>
        </w:numPr>
        <w:spacing w:before="0" w:after="0" w:line="240" w:lineRule="auto"/>
      </w:pPr>
      <w:r>
        <w:t>System bazodanowy i jego obsługa (warsztat)</w:t>
      </w:r>
    </w:p>
    <w:p w:rsidR="000712FC" w:rsidRDefault="000712FC" w:rsidP="000712FC">
      <w:pPr>
        <w:pStyle w:val="Akapitzlist"/>
        <w:numPr>
          <w:ilvl w:val="0"/>
          <w:numId w:val="6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>
        <w:t>Przerwa 5 min</w:t>
      </w:r>
    </w:p>
    <w:p w:rsidR="000712FC" w:rsidRDefault="000712FC" w:rsidP="000712FC">
      <w:pPr>
        <w:spacing w:before="0" w:after="0" w:line="240" w:lineRule="auto"/>
      </w:pPr>
      <w:r>
        <w:t>Część IV Proces świadczenia usługi maturyzacji dokładniej</w:t>
      </w:r>
    </w:p>
    <w:p w:rsidR="000712FC" w:rsidRDefault="000712FC" w:rsidP="000712FC">
      <w:pPr>
        <w:pStyle w:val="Akapitzlist"/>
        <w:numPr>
          <w:ilvl w:val="0"/>
          <w:numId w:val="7"/>
        </w:numPr>
        <w:spacing w:before="0" w:after="0" w:line="240" w:lineRule="auto"/>
      </w:pPr>
      <w:r>
        <w:t>Regulamin usługi – wybrane punkty decyzyjne</w:t>
      </w:r>
    </w:p>
    <w:p w:rsidR="000712FC" w:rsidRDefault="000712FC" w:rsidP="000712FC">
      <w:pPr>
        <w:pStyle w:val="Akapitzlist"/>
        <w:numPr>
          <w:ilvl w:val="0"/>
          <w:numId w:val="7"/>
        </w:numPr>
        <w:spacing w:before="0" w:after="0" w:line="240" w:lineRule="auto"/>
      </w:pPr>
      <w:r>
        <w:t>Punkty regulaminu dotyczące personelu (w tym alumnów szkolenia)</w:t>
      </w:r>
    </w:p>
    <w:p w:rsidR="000712FC" w:rsidRDefault="000712FC" w:rsidP="000712FC">
      <w:pPr>
        <w:pStyle w:val="Akapitzlist"/>
        <w:numPr>
          <w:ilvl w:val="0"/>
          <w:numId w:val="7"/>
        </w:numPr>
        <w:spacing w:before="0" w:after="0" w:line="240" w:lineRule="auto"/>
      </w:pPr>
      <w:r>
        <w:lastRenderedPageBreak/>
        <w:t>Narzędzia do wykorzystania na tym etapie (warsztat)</w:t>
      </w:r>
    </w:p>
    <w:p w:rsidR="000712FC" w:rsidRDefault="000712FC" w:rsidP="000712FC">
      <w:pPr>
        <w:pStyle w:val="Akapitzlist"/>
        <w:numPr>
          <w:ilvl w:val="0"/>
          <w:numId w:val="7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>
        <w:t>Przerwa 35 min (lunchowa)</w:t>
      </w:r>
    </w:p>
    <w:p w:rsidR="000712FC" w:rsidRDefault="000712FC" w:rsidP="000712FC">
      <w:pPr>
        <w:spacing w:before="0" w:after="0" w:line="240" w:lineRule="auto"/>
      </w:pPr>
      <w:r>
        <w:t xml:space="preserve">Część V </w:t>
      </w:r>
      <w:proofErr w:type="spellStart"/>
      <w:r>
        <w:t>Preaudyt</w:t>
      </w:r>
      <w:proofErr w:type="spellEnd"/>
      <w:r>
        <w:t xml:space="preserve"> (ca 45 min)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Cele </w:t>
      </w:r>
      <w:proofErr w:type="spellStart"/>
      <w:r>
        <w:t>preaudytu</w:t>
      </w:r>
      <w:proofErr w:type="spellEnd"/>
      <w:r>
        <w:t xml:space="preserve"> – standard kontaktu z podmiotem (warsztat)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Zakres </w:t>
      </w:r>
      <w:proofErr w:type="spellStart"/>
      <w:r>
        <w:t>preaudytu</w:t>
      </w:r>
      <w:proofErr w:type="spellEnd"/>
      <w:r>
        <w:t xml:space="preserve"> – korzystanie z algorytmów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Sposób prowadzenia dokumentacji i podsumowania (arkusz)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>
        <w:t>Przerwa 5 min</w:t>
      </w:r>
    </w:p>
    <w:p w:rsidR="000712FC" w:rsidRDefault="000712FC" w:rsidP="000712FC">
      <w:pPr>
        <w:spacing w:before="0" w:after="0" w:line="240" w:lineRule="auto"/>
      </w:pPr>
      <w:r>
        <w:t>Część VI Audyt (ca 45 min)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Cele audytu – standard kontaktu z podmiotem (warsztat)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Zakres audytu vs </w:t>
      </w:r>
      <w:proofErr w:type="spellStart"/>
      <w:r>
        <w:t>preaudyt</w:t>
      </w:r>
      <w:proofErr w:type="spellEnd"/>
      <w:r>
        <w:t>– korzystanie z algorytmów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Sposób prowadzenia dokumentacji i podsumowania (arkusz)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 w:rsidRPr="00045765">
        <w:t>Przerwa 5 min</w:t>
      </w:r>
    </w:p>
    <w:p w:rsidR="000712FC" w:rsidRDefault="000712FC" w:rsidP="000712FC">
      <w:pPr>
        <w:spacing w:before="0" w:after="0" w:line="240" w:lineRule="auto"/>
      </w:pPr>
      <w:r>
        <w:t>Część VII Wdrażanie rekomendacji (ca 45 min)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Wnioski po audycie, rekomendacje, prezentacja, komisja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Baza B+R – jej uzupełnianie i wykorzystanie (warsztat)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Ewentualne wsparcie wdrożenia rekomendacji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Kontrola wdrożenia rekomendacji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spacing w:before="0" w:after="0" w:line="240" w:lineRule="auto"/>
      </w:pPr>
      <w:r w:rsidRPr="00045765">
        <w:t>Przerwa 5 min</w:t>
      </w:r>
    </w:p>
    <w:p w:rsidR="000712FC" w:rsidRDefault="000712FC" w:rsidP="000712FC">
      <w:pPr>
        <w:spacing w:before="0" w:after="0" w:line="240" w:lineRule="auto"/>
      </w:pPr>
      <w:r>
        <w:t>Część VIII Certyfikacja (ca 45 min)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Materiały dla usługobiorców 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Formy wdrożenia niezbędnych procesów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Ewentualny czynny udział w przygotowaniach do </w:t>
      </w:r>
      <w:proofErr w:type="spellStart"/>
      <w:r>
        <w:t>fundraisingu</w:t>
      </w:r>
      <w:proofErr w:type="spellEnd"/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Kontrola przygotowania do </w:t>
      </w:r>
      <w:proofErr w:type="spellStart"/>
      <w:r>
        <w:t>fundraisingu</w:t>
      </w:r>
      <w:proofErr w:type="spellEnd"/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Obsługa bazy certyfikacji (warsztat)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 xml:space="preserve">Monitoring 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Usługi dodatkowe</w:t>
      </w:r>
    </w:p>
    <w:p w:rsidR="000712FC" w:rsidRDefault="000712FC" w:rsidP="000712FC">
      <w:pPr>
        <w:pStyle w:val="Akapitzlist"/>
        <w:numPr>
          <w:ilvl w:val="0"/>
          <w:numId w:val="8"/>
        </w:numPr>
        <w:spacing w:before="0" w:after="0" w:line="240" w:lineRule="auto"/>
      </w:pPr>
      <w:r>
        <w:t>Pytania, odpowiedzi i dyskusja</w:t>
      </w:r>
    </w:p>
    <w:p w:rsidR="000712FC" w:rsidRDefault="000712FC" w:rsidP="000712FC">
      <w:pPr>
        <w:pStyle w:val="Akapitzlist"/>
        <w:numPr>
          <w:ilvl w:val="0"/>
          <w:numId w:val="8"/>
        </w:numPr>
      </w:pPr>
      <w:r>
        <w:t>Zakończenie i ankieta podsumowująca</w:t>
      </w:r>
    </w:p>
    <w:p w:rsidR="000712FC" w:rsidRDefault="000712FC" w:rsidP="000712FC"/>
    <w:p w:rsidR="000712FC" w:rsidRDefault="000712FC" w:rsidP="000712FC">
      <w:pPr>
        <w:pStyle w:val="Nagwek2"/>
        <w:numPr>
          <w:ilvl w:val="0"/>
          <w:numId w:val="0"/>
        </w:numPr>
      </w:pPr>
      <w:bookmarkStart w:id="6" w:name="_Miejsce_i_termin"/>
      <w:bookmarkStart w:id="7" w:name="_Toc88605485"/>
      <w:bookmarkEnd w:id="6"/>
      <w:r w:rsidRPr="008C5486">
        <w:t>Miejsce i termin</w:t>
      </w:r>
      <w:r>
        <w:t xml:space="preserve"> szkolenia</w:t>
      </w:r>
      <w:bookmarkEnd w:id="7"/>
    </w:p>
    <w:p w:rsidR="000712FC" w:rsidRDefault="000712FC" w:rsidP="000712FC">
      <w:pPr>
        <w:spacing w:line="240" w:lineRule="auto"/>
      </w:pPr>
      <w:r>
        <w:t xml:space="preserve">Zależy nam na tym, aby szkolenie miało charakter warsztatowy, co najlepiej realizować przy fizycznej obecności w siedzibie Partnerstwa – przy ulicy Świętokrzyskiej 20 w Warszawie. Dokładne dane dotyczące numeru Sali, w której odbędą się warsztaty zostaną przesłane </w:t>
      </w:r>
      <w:proofErr w:type="spellStart"/>
      <w:r>
        <w:t>uczestnikiom</w:t>
      </w:r>
      <w:proofErr w:type="spellEnd"/>
      <w:r>
        <w:t xml:space="preserve"> na adres mailowy wskazany przez nich podczas rejestracji.</w:t>
      </w:r>
    </w:p>
    <w:p w:rsidR="000712FC" w:rsidRDefault="000712FC" w:rsidP="000712FC">
      <w:pPr>
        <w:spacing w:line="240" w:lineRule="auto"/>
      </w:pPr>
      <w:r>
        <w:t>Ze względu na pandemię obecnie nie podajemy dokładnej daty. Zamierzamy zorganizować szkolenie w drugiej połowie grudnia br., lub w styczniu 2022 roku.</w:t>
      </w:r>
    </w:p>
    <w:p w:rsidR="000712FC" w:rsidRDefault="000712FC" w:rsidP="000712FC">
      <w:pPr>
        <w:spacing w:line="240" w:lineRule="auto"/>
      </w:pPr>
      <w:r>
        <w:t>W razie wzrostu zagrożenia pandemicznego, jeżeli organizacja szkolenia stacjonarnego okaże się niemożliwa, zorganizujemy szkolenie w lutym 2022 roku w trybie zdalnym.</w:t>
      </w:r>
    </w:p>
    <w:p w:rsidR="000712FC" w:rsidRDefault="000712FC" w:rsidP="000712FC">
      <w:pPr>
        <w:spacing w:line="240" w:lineRule="auto"/>
      </w:pPr>
      <w:r>
        <w:lastRenderedPageBreak/>
        <w:t>Podczas rejestracji prosimy o podanie wszystkich wymaganych danych kontaktowych w celu umożliwienia nam nawiązania kontaktu z Państwem, co będzie konieczne dla:</w:t>
      </w:r>
    </w:p>
    <w:p w:rsidR="000712FC" w:rsidRDefault="000712FC" w:rsidP="000712FC">
      <w:pPr>
        <w:pStyle w:val="Akapitzlist"/>
        <w:numPr>
          <w:ilvl w:val="0"/>
          <w:numId w:val="3"/>
        </w:numPr>
        <w:spacing w:line="240" w:lineRule="auto"/>
      </w:pPr>
      <w:r>
        <w:t>Potwierdzenia prawidłowości rejestracji,</w:t>
      </w:r>
    </w:p>
    <w:p w:rsidR="000712FC" w:rsidRDefault="000712FC" w:rsidP="000712FC">
      <w:pPr>
        <w:pStyle w:val="Akapitzlist"/>
        <w:numPr>
          <w:ilvl w:val="0"/>
          <w:numId w:val="3"/>
        </w:numPr>
        <w:spacing w:line="240" w:lineRule="auto"/>
      </w:pPr>
      <w:r>
        <w:t>Przekazania szczegółowych danych dotyczących daty, godziny oraz miejsca szkolenia, zaś w przypadku konieczności odbycia szkolenia w trybie zdalnym – przekazania materiałów szkoleniowych.</w:t>
      </w:r>
    </w:p>
    <w:p w:rsidR="000712FC" w:rsidRDefault="000712FC" w:rsidP="000712FC">
      <w:pPr>
        <w:pStyle w:val="Nagwek2"/>
        <w:numPr>
          <w:ilvl w:val="0"/>
          <w:numId w:val="0"/>
        </w:numPr>
      </w:pPr>
      <w:bookmarkStart w:id="8" w:name="_Informacja_o_prowadzącym"/>
      <w:bookmarkStart w:id="9" w:name="_Toc88605486"/>
      <w:bookmarkEnd w:id="8"/>
      <w:r>
        <w:t>Informacja o prowadzącym</w:t>
      </w:r>
      <w:bookmarkEnd w:id="9"/>
    </w:p>
    <w:p w:rsidR="000712FC" w:rsidRDefault="000712FC" w:rsidP="000712FC">
      <w:pPr>
        <w:spacing w:before="0" w:after="0" w:line="240" w:lineRule="auto"/>
        <w:contextualSpacing w:val="0"/>
      </w:pPr>
      <w:r>
        <w:t xml:space="preserve">Piotr KAZIMIERCZYK - doktor inżynier nauk technicznych w specjalności mechanika stochastyczna. Karierę zawodową rozpoczynał jako asystent a potem adiunkt na Politechnice Warszawskiej. Następne lata – to kariera naukowa w IPPT PAN oraz na Politechnice w Darmstadt. Kolejne doświadczenia zawodowe zebrał jako ekspert finansowy – przez dwie dekady pełnił wysokie funkcje menedżerskie w bankach krajowych i międzynarodowych, w tym jako dyrektor finansowy oraz jako główny oficer ds. ryzyka (w tym kredytowego – wdrożył m. in. 5 metodyk oceny ryzyka kredytowego dla różnych segmentów gospodarczych). Przez 2 lata był członkiem zarządu i wykładowcą Fundacji Rozwoju Bankowości Spółdzielczej (FRBS). Poza FRBS, jako wykładowca brał udział w szkoleniach związanych z przygotowaniem projektów inwestycyjnych dotyczących usprawnień energetycznych. Zbudował wiele modeli finansowych oraz studiów wykonalności dla licznych projektów termomodernizacyjnych. Uczestniczył w przedsięwzięciach krajowych i międzynarodowych dotyczących badania i rozwijania systemowych rozwiązań służących energooszczędności. Poza publikacjami stricte naukowymi autor między innymi raportu Banku Światowego nt. termomodernizacji budynków w Polsce oraz trzech raportów przeglądowych nt. termomodernizacji lokali pod wynajem w ośmiu krajach europejskich w ramach projektu </w:t>
      </w:r>
      <w:proofErr w:type="spellStart"/>
      <w:r>
        <w:t>RentalCal</w:t>
      </w:r>
      <w:proofErr w:type="spellEnd"/>
      <w:r>
        <w:t xml:space="preserve">. </w:t>
      </w:r>
    </w:p>
    <w:p w:rsidR="000712FC" w:rsidRDefault="000712FC" w:rsidP="000712FC">
      <w:pPr>
        <w:spacing w:before="0" w:after="0" w:line="240" w:lineRule="auto"/>
        <w:contextualSpacing w:val="0"/>
      </w:pPr>
      <w:r>
        <w:t>Ekspert świadczący specjalistyczne usługi doradcze w ramach Ośrodka innowacji o szerokich kompetencjach i osiągnięciach w zarządzaniu strategicznym, zarządzaniu finansami i ryzykiem, w kreowaniu produktów oraz planowaniu, wspieraniu i rozliczaniu sprzedaży, budowaniu zespołów, pozyskiwaniu finansowania zwrotnego i bezzwrotnego.</w:t>
      </w:r>
    </w:p>
    <w:p w:rsidR="000712FC" w:rsidRDefault="000712FC" w:rsidP="000712FC">
      <w:pPr>
        <w:spacing w:before="0" w:after="0" w:line="240" w:lineRule="auto"/>
        <w:contextualSpacing w:val="0"/>
      </w:pPr>
      <w:r>
        <w:t>Kluczowe kompetencje:</w:t>
      </w:r>
    </w:p>
    <w:p w:rsidR="000712FC" w:rsidRDefault="000712FC" w:rsidP="000712FC">
      <w:pPr>
        <w:spacing w:before="0" w:after="0" w:line="240" w:lineRule="auto"/>
        <w:contextualSpacing w:val="0"/>
      </w:pPr>
      <w:r>
        <w:t>- prowadzenie jako lider prac nad projektami inwestycyjnymi i rozwojowymi na etapie aplikowania o finansowanie, w tym finansowanie ze wsparciem z programów Unii Europejskiej, we wszystkich trzech rolach, jako aplikujący, jako doradca aplikującego oraz jako oceniający projekt,</w:t>
      </w:r>
    </w:p>
    <w:p w:rsidR="000712FC" w:rsidRDefault="000712FC" w:rsidP="000712FC">
      <w:pPr>
        <w:spacing w:before="0" w:after="0" w:line="240" w:lineRule="auto"/>
        <w:contextualSpacing w:val="0"/>
      </w:pPr>
      <w:r>
        <w:t>- budowanie i wdrażanie metodyki badania rynku i tworzenia planów strategicznych,</w:t>
      </w:r>
    </w:p>
    <w:p w:rsidR="000712FC" w:rsidRDefault="000712FC" w:rsidP="000712FC">
      <w:pPr>
        <w:spacing w:before="0" w:after="0" w:line="240" w:lineRule="auto"/>
        <w:contextualSpacing w:val="0"/>
      </w:pPr>
      <w:r>
        <w:t xml:space="preserve">- przygotowywanie koncepcji, ofert oraz wycen sprzedaży przedsiębiorstw, z przeprowadzaniem badania </w:t>
      </w:r>
      <w:proofErr w:type="spellStart"/>
      <w:r>
        <w:t>due-diligence</w:t>
      </w:r>
      <w:proofErr w:type="spellEnd"/>
      <w:r>
        <w:t>;</w:t>
      </w:r>
    </w:p>
    <w:p w:rsidR="000712FC" w:rsidRDefault="000712FC" w:rsidP="000712FC">
      <w:pPr>
        <w:spacing w:before="0" w:after="0" w:line="240" w:lineRule="auto"/>
        <w:contextualSpacing w:val="0"/>
      </w:pPr>
      <w:r>
        <w:t>- projektowanie strategii finansowania przedsiębiorstw oraz metodyk i narzędzi pomiaru i bilansowania płynności,</w:t>
      </w:r>
    </w:p>
    <w:p w:rsidR="000712FC" w:rsidRDefault="000712FC" w:rsidP="000712FC">
      <w:pPr>
        <w:spacing w:before="0" w:after="0" w:line="240" w:lineRule="auto"/>
        <w:contextualSpacing w:val="0"/>
      </w:pPr>
      <w:r>
        <w:t>- budowanie modeli symulacyjnych umożliwiających szczegółowe symulowanie wieloletnich sprawozdań finansowych zgodnych z międzynarodowymi standardami rachunkowości dla różnych typów przedsiębiorstw i produktów oraz dowolnie kształtowanych scenariuszy rynkowych.</w:t>
      </w:r>
    </w:p>
    <w:p w:rsidR="000712FC" w:rsidRDefault="000712FC" w:rsidP="000712FC"/>
    <w:p w:rsidR="000712FC" w:rsidRPr="008C5486" w:rsidRDefault="000712FC" w:rsidP="000712FC"/>
    <w:p w:rsidR="00DC49FC" w:rsidRDefault="00DC49FC">
      <w:bookmarkStart w:id="10" w:name="_GoBack"/>
      <w:bookmarkEnd w:id="10"/>
    </w:p>
    <w:sectPr w:rsidR="00DC49FC" w:rsidSect="000712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BE8" w:rsidRDefault="00927BE8" w:rsidP="000712FC">
      <w:pPr>
        <w:spacing w:before="0" w:after="0" w:line="240" w:lineRule="auto"/>
      </w:pPr>
      <w:r>
        <w:separator/>
      </w:r>
    </w:p>
  </w:endnote>
  <w:endnote w:type="continuationSeparator" w:id="0">
    <w:p w:rsidR="00927BE8" w:rsidRDefault="00927BE8" w:rsidP="00071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545603"/>
      <w:docPartObj>
        <w:docPartGallery w:val="Page Numbers (Bottom of Page)"/>
        <w:docPartUnique/>
      </w:docPartObj>
    </w:sdtPr>
    <w:sdtContent>
      <w:p w:rsidR="000712FC" w:rsidRDefault="000712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:rsidR="000712FC" w:rsidRDefault="00071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FC" w:rsidRDefault="000712FC">
    <w:pPr>
      <w:pStyle w:val="Stopka"/>
    </w:pPr>
    <w:r>
      <w:rPr>
        <w:noProof/>
      </w:rPr>
      <w:drawing>
        <wp:inline distT="0" distB="0" distL="0" distR="0" wp14:anchorId="77283AB3" wp14:editId="5D60E36E">
          <wp:extent cx="5760720" cy="432435"/>
          <wp:effectExtent l="0" t="0" r="0" b="571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BE8" w:rsidRDefault="00927BE8" w:rsidP="000712FC">
      <w:pPr>
        <w:spacing w:before="0" w:after="0" w:line="240" w:lineRule="auto"/>
      </w:pPr>
      <w:r>
        <w:separator/>
      </w:r>
    </w:p>
  </w:footnote>
  <w:footnote w:type="continuationSeparator" w:id="0">
    <w:p w:rsidR="00927BE8" w:rsidRDefault="00927BE8" w:rsidP="000712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FC" w:rsidRDefault="000712FC">
    <w:pPr>
      <w:pStyle w:val="Nagwek"/>
    </w:pPr>
    <w:r w:rsidRPr="00AB321A">
      <w:rPr>
        <w:noProof/>
      </w:rPr>
      <w:drawing>
        <wp:inline distT="0" distB="0" distL="0" distR="0" wp14:anchorId="54F398BF" wp14:editId="2037B3A0">
          <wp:extent cx="5760720" cy="549275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FC" w:rsidRDefault="000712FC">
    <w:pPr>
      <w:pStyle w:val="Nagwek"/>
    </w:pPr>
    <w:r w:rsidRPr="00AB321A">
      <w:rPr>
        <w:noProof/>
      </w:rPr>
      <w:drawing>
        <wp:inline distT="0" distB="0" distL="0" distR="0" wp14:anchorId="54F398BF" wp14:editId="2037B3A0">
          <wp:extent cx="5760720" cy="5492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048"/>
    <w:multiLevelType w:val="hybridMultilevel"/>
    <w:tmpl w:val="409A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6F"/>
    <w:multiLevelType w:val="hybridMultilevel"/>
    <w:tmpl w:val="0B30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27499"/>
    <w:multiLevelType w:val="multilevel"/>
    <w:tmpl w:val="FB1E5EF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76602D"/>
    <w:multiLevelType w:val="hybridMultilevel"/>
    <w:tmpl w:val="E78C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05E3"/>
    <w:multiLevelType w:val="hybridMultilevel"/>
    <w:tmpl w:val="0AE2B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226"/>
    <w:multiLevelType w:val="hybridMultilevel"/>
    <w:tmpl w:val="83A4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F4107"/>
    <w:multiLevelType w:val="hybridMultilevel"/>
    <w:tmpl w:val="F38E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4E8"/>
    <w:multiLevelType w:val="hybridMultilevel"/>
    <w:tmpl w:val="AE5469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C"/>
    <w:rsid w:val="000712FC"/>
    <w:rsid w:val="002A5BC1"/>
    <w:rsid w:val="00396063"/>
    <w:rsid w:val="00470F9F"/>
    <w:rsid w:val="0075634E"/>
    <w:rsid w:val="008B7103"/>
    <w:rsid w:val="00927BE8"/>
    <w:rsid w:val="00A05C74"/>
    <w:rsid w:val="00DC49FC"/>
    <w:rsid w:val="00E3771D"/>
    <w:rsid w:val="00F22281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22FC"/>
  <w15:chartTrackingRefBased/>
  <w15:docId w15:val="{C3281990-2C39-47CE-853A-A1C686A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rustBonl Standardtext"/>
    <w:qFormat/>
    <w:rsid w:val="000712FC"/>
    <w:pPr>
      <w:overflowPunct w:val="0"/>
      <w:autoSpaceDE w:val="0"/>
      <w:autoSpaceDN w:val="0"/>
      <w:adjustRightInd w:val="0"/>
      <w:spacing w:before="120" w:after="120" w:line="360" w:lineRule="auto"/>
      <w:contextualSpacing/>
      <w:jc w:val="both"/>
      <w:textAlignment w:val="baseline"/>
    </w:pPr>
    <w:rPr>
      <w:rFonts w:ascii="Arial" w:eastAsia="Times New Roman" w:hAnsi="Arial" w:cs="Times New Roman"/>
      <w:sz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2F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2F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12F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12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0712FC"/>
    <w:pPr>
      <w:numPr>
        <w:ilvl w:val="4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2F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2F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2F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2F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2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12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0712FC"/>
    <w:rPr>
      <w:rFonts w:asciiTheme="majorHAnsi" w:eastAsiaTheme="majorEastAsia" w:hAnsiTheme="majorHAnsi" w:cstheme="majorBidi"/>
      <w:b/>
      <w:bCs/>
      <w:color w:val="4472C4" w:themeColor="accent1"/>
      <w:sz w:val="24"/>
      <w:lang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0712F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0712F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2FC"/>
    <w:rPr>
      <w:rFonts w:asciiTheme="majorHAnsi" w:eastAsiaTheme="majorEastAsia" w:hAnsiTheme="majorHAnsi" w:cstheme="majorBidi"/>
      <w:color w:val="1F3763" w:themeColor="accent1" w:themeShade="7F"/>
      <w:sz w:val="24"/>
      <w:lang w:eastAsia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2FC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2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a-Siatka">
    <w:name w:val="Table Grid"/>
    <w:basedOn w:val="Standardowy"/>
    <w:uiPriority w:val="59"/>
    <w:rsid w:val="000712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12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12F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71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FC"/>
    <w:rPr>
      <w:rFonts w:ascii="Arial" w:eastAsia="Times New Roman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071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FC"/>
    <w:rPr>
      <w:rFonts w:ascii="Arial" w:eastAsia="Times New Roman" w:hAnsi="Arial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Kazimierczyk</dc:creator>
  <cp:keywords/>
  <dc:description/>
  <cp:lastModifiedBy>Piotr Kazimierczyk</cp:lastModifiedBy>
  <cp:revision>1</cp:revision>
  <dcterms:created xsi:type="dcterms:W3CDTF">2021-11-25T17:45:00Z</dcterms:created>
  <dcterms:modified xsi:type="dcterms:W3CDTF">2021-11-25T17:53:00Z</dcterms:modified>
</cp:coreProperties>
</file>